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4A" w:rsidRPr="00980D4A" w:rsidRDefault="00980D4A" w:rsidP="00980D4A">
      <w:pPr>
        <w:widowControl w:val="0"/>
        <w:spacing w:line="240" w:lineRule="auto"/>
        <w:ind w:left="-68" w:right="857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Күні 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өр орны </w:t>
      </w:r>
    </w:p>
    <w:p w:rsidR="00980D4A" w:rsidRPr="00980D4A" w:rsidRDefault="00980D4A" w:rsidP="00980D4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80D4A" w:rsidRPr="00980D4A" w:rsidRDefault="00980D4A" w:rsidP="00980D4A">
      <w:pPr>
        <w:spacing w:after="11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80D4A" w:rsidRPr="00980D4A" w:rsidRDefault="00980D4A" w:rsidP="00980D4A">
      <w:pPr>
        <w:rPr>
          <w:rFonts w:ascii="Times New Roman" w:hAnsi="Times New Roman" w:cs="Times New Roman"/>
          <w:sz w:val="28"/>
          <w:szCs w:val="28"/>
        </w:rPr>
        <w:sectPr w:rsidR="00980D4A" w:rsidRPr="00980D4A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p w:rsidR="00980D4A" w:rsidRPr="00980D4A" w:rsidRDefault="00980D4A" w:rsidP="00980D4A">
      <w:pPr>
        <w:widowControl w:val="0"/>
        <w:spacing w:line="240" w:lineRule="auto"/>
        <w:ind w:left="144" w:right="-5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Қа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қс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пу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қ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>«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әр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980D4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тарды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дицин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қсат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жә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кас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апта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ұ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лтт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Pr="00980D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ү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құ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ғ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нда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спубликал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екетт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proofErr w:type="gramStart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proofErr w:type="gramEnd"/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әс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</w:p>
    <w:p w:rsidR="00980D4A" w:rsidRPr="00980D4A" w:rsidRDefault="00980D4A" w:rsidP="00980D4A">
      <w:pPr>
        <w:widowControl w:val="0"/>
        <w:spacing w:line="240" w:lineRule="auto"/>
        <w:ind w:right="99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80D4A">
        <w:rPr>
          <w:rFonts w:ascii="Times New Roman" w:hAnsi="Times New Roman" w:cs="Times New Roman"/>
          <w:sz w:val="28"/>
          <w:szCs w:val="28"/>
        </w:rPr>
        <w:br w:type="column"/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бл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го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дп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рия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рав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х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озя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стве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ног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ен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"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ацион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льн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нт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ртиз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лекарств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средст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дел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м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диц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аз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чен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дицин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80D4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хни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ки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980D4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рс</w:t>
      </w:r>
      <w:r w:rsidRPr="00980D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зд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ох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980D4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980D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980D4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980D4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80D4A" w:rsidRPr="00980D4A" w:rsidRDefault="00980D4A" w:rsidP="00980D4A">
      <w:pPr>
        <w:sectPr w:rsidR="00980D4A" w:rsidRPr="00980D4A">
          <w:type w:val="continuous"/>
          <w:pgSz w:w="11905" w:h="16837"/>
          <w:pgMar w:top="563" w:right="850" w:bottom="1134" w:left="1133" w:header="0" w:footer="0" w:gutter="0"/>
          <w:cols w:num="2" w:space="708" w:equalWidth="0">
            <w:col w:w="3804" w:space="1943"/>
            <w:col w:w="4175" w:space="0"/>
          </w:cols>
        </w:sectPr>
      </w:pPr>
    </w:p>
    <w:p w:rsidR="00980D4A" w:rsidRPr="00980D4A" w:rsidRDefault="00980D4A" w:rsidP="00980D4A">
      <w:pPr>
        <w:spacing w:after="16" w:line="140" w:lineRule="exact"/>
        <w:rPr>
          <w:sz w:val="14"/>
          <w:szCs w:val="14"/>
        </w:rPr>
      </w:pPr>
    </w:p>
    <w:p w:rsidR="00980D4A" w:rsidRPr="00980D4A" w:rsidRDefault="00980D4A" w:rsidP="00980D4A">
      <w:pPr>
        <w:widowControl w:val="0"/>
        <w:spacing w:line="240" w:lineRule="auto"/>
        <w:ind w:left="3964"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  <w:szCs w:val="28"/>
        </w:rPr>
      </w:pPr>
      <w:r w:rsidRPr="00980D4A">
        <w:rPr>
          <w:rFonts w:ascii="Times New Roman" w:eastAsia="Times New Roman" w:hAnsi="Times New Roman" w:cs="Times New Roman"/>
          <w:b/>
          <w:bCs/>
          <w:color w:val="000000"/>
          <w:spacing w:val="6"/>
          <w:w w:val="103"/>
          <w:sz w:val="28"/>
          <w:szCs w:val="28"/>
          <w:lang w:val="kk-KZ"/>
        </w:rPr>
        <w:t>Дәрілік препараттың қауіпсіздігі, тиімділігі мен сапасы жөніндегі жиынтық есеп</w:t>
      </w:r>
    </w:p>
    <w:p w:rsidR="00FA67AB" w:rsidRDefault="00FA67A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67AB" w:rsidRDefault="00FA67A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67AB" w:rsidRDefault="00FA67A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67AB" w:rsidRDefault="00FA67A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67AB" w:rsidRDefault="00FA67A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67AB" w:rsidRDefault="00FA67A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67AB" w:rsidRDefault="00FA67AB">
      <w:pPr>
        <w:spacing w:after="7" w:line="120" w:lineRule="exact"/>
        <w:rPr>
          <w:rFonts w:ascii="Times New Roman" w:eastAsia="Times New Roman" w:hAnsi="Times New Roman" w:cs="Times New Roman"/>
          <w:w w:val="103"/>
          <w:sz w:val="12"/>
          <w:szCs w:val="12"/>
        </w:rPr>
      </w:pPr>
    </w:p>
    <w:p w:rsidR="00FA67AB" w:rsidRDefault="00783409">
      <w:pPr>
        <w:widowControl w:val="0"/>
        <w:spacing w:line="240" w:lineRule="auto"/>
        <w:ind w:left="1962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15" behindDoc="1" locked="0" layoutInCell="0" allowOverlap="1" wp14:anchorId="38E882DB" wp14:editId="4AF0EAB8">
                <wp:simplePos x="0" y="0"/>
                <wp:positionH relativeFrom="page">
                  <wp:posOffset>719962</wp:posOffset>
                </wp:positionH>
                <wp:positionV relativeFrom="paragraph">
                  <wp:posOffset>-797338</wp:posOffset>
                </wp:positionV>
                <wp:extent cx="6264021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4021" cy="8003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88"/>
                              <w:gridCol w:w="6576"/>
                            </w:tblGrid>
                            <w:tr w:rsidR="00FA67AB">
                              <w:trPr>
                                <w:cantSplit/>
                                <w:trHeight w:hRule="exact" w:val="566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A67AB" w:rsidRDefault="00980D4A">
                                  <w:pPr>
                                    <w:widowControl w:val="0"/>
                                    <w:spacing w:before="3" w:line="240" w:lineRule="auto"/>
                                    <w:ind w:left="60" w:right="8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Дәрілік препараттың атауы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A67AB" w:rsidRDefault="00FA67AB">
                                  <w:pPr>
                                    <w:spacing w:after="9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A67AB" w:rsidRDefault="00783409">
                                  <w:pPr>
                                    <w:widowControl w:val="0"/>
                                    <w:spacing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"/>
                                      <w:sz w:val="23"/>
                                      <w:szCs w:val="23"/>
                                    </w:rPr>
                                    <w:t>АНСИ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"/>
                                      <w:sz w:val="23"/>
                                      <w:szCs w:val="23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5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®</w:t>
                                  </w:r>
                                </w:p>
                              </w:tc>
                            </w:tr>
                            <w:tr w:rsidR="00FA67AB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A67AB" w:rsidRDefault="00980D4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Өндіруші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A67AB" w:rsidRDefault="0078340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обе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3"/>
                                      <w:szCs w:val="23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ч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е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</w:rPr>
                                    <w:t>аре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А.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3"/>
                                      <w:szCs w:val="23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A67AB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3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A67AB" w:rsidRDefault="00980D4A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3"/>
                                      <w:szCs w:val="23"/>
                                      <w:lang w:val="kk-KZ"/>
                                    </w:rPr>
                                    <w:t>Елі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FA67AB" w:rsidRPr="00980D4A" w:rsidRDefault="00783409">
                                  <w:pPr>
                                    <w:widowControl w:val="0"/>
                                    <w:spacing w:before="3" w:line="240" w:lineRule="auto"/>
                                    <w:ind w:left="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3"/>
                                      <w:szCs w:val="23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</w:rPr>
                                    <w:t>Т</w:t>
                                  </w:r>
                                  <w:r w:rsidR="00980D4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3"/>
                                      <w:szCs w:val="23"/>
                                      <w:lang w:val="kk-KZ"/>
                                    </w:rPr>
                                    <w:t>ҮРКИЯ</w:t>
                                  </w:r>
                                </w:p>
                              </w:tc>
                            </w:tr>
                          </w:tbl>
                          <w:p w:rsidR="008102C7" w:rsidRDefault="008102C7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1" o:spid="_x0000_s1026" type="#_x0000_t202" style="position:absolute;left:0;text-align:left;margin-left:56.7pt;margin-top:-62.8pt;width:493.25pt;height:63pt;z-index:-5033158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88"/>
                        <w:gridCol w:w="6576"/>
                      </w:tblGrid>
                      <w:tr w:rsidR="00FA67AB">
                        <w:trPr>
                          <w:cantSplit/>
                          <w:trHeight w:hRule="exact" w:val="566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A67AB" w:rsidRDefault="00980D4A">
                            <w:pPr>
                              <w:widowControl w:val="0"/>
                              <w:spacing w:before="3" w:line="240" w:lineRule="auto"/>
                              <w:ind w:left="60" w:right="8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Дәрілік препараттың атауы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A67AB" w:rsidRDefault="00FA67AB">
                            <w:pPr>
                              <w:spacing w:after="9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A67AB" w:rsidRDefault="00783409">
                            <w:pPr>
                              <w:widowControl w:val="0"/>
                              <w:spacing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3"/>
                                <w:szCs w:val="23"/>
                              </w:rPr>
                              <w:t>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"/>
                                <w:sz w:val="23"/>
                                <w:szCs w:val="23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®</w:t>
                            </w:r>
                          </w:p>
                        </w:tc>
                      </w:tr>
                      <w:tr w:rsidR="00FA67AB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A67AB" w:rsidRDefault="00980D4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Өндіруші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A67AB" w:rsidRDefault="0078340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обе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л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3"/>
                                <w:szCs w:val="23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ч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</w:rPr>
                              <w:t>аре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А.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3"/>
                                <w:szCs w:val="23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c>
                      </w:tr>
                      <w:tr w:rsidR="00FA67AB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3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A67AB" w:rsidRDefault="00980D4A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3"/>
                                <w:szCs w:val="23"/>
                                <w:lang w:val="kk-KZ"/>
                              </w:rPr>
                              <w:t>Елі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FA67AB" w:rsidRPr="00980D4A" w:rsidRDefault="00783409">
                            <w:pPr>
                              <w:widowControl w:val="0"/>
                              <w:spacing w:before="3" w:line="240" w:lineRule="auto"/>
                              <w:ind w:left="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3"/>
                                <w:szCs w:val="23"/>
                                <w:lang w:val="kk-KZ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</w:rPr>
                              <w:t>Т</w:t>
                            </w:r>
                            <w:r w:rsidR="00980D4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3"/>
                                <w:szCs w:val="23"/>
                                <w:lang w:val="kk-KZ"/>
                              </w:rPr>
                              <w:t>ҮРКИЯ</w:t>
                            </w:r>
                          </w:p>
                        </w:tc>
                      </w:tr>
                    </w:tbl>
                    <w:p w:rsidR="008102C7" w:rsidRDefault="008102C7"/>
                  </w:txbxContent>
                </v:textbox>
                <w10:wrap anchorx="page"/>
              </v:shape>
            </w:pict>
          </mc:Fallback>
        </mc:AlternateContent>
      </w:r>
      <w:r w:rsidR="00980D4A" w:rsidRPr="009C4EFA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 xml:space="preserve"> </w:t>
      </w:r>
      <w:r w:rsidR="00980D4A" w:rsidRPr="0074122C">
        <w:rPr>
          <w:rFonts w:ascii="Times New Roman" w:eastAsia="Times New Roman" w:hAnsi="Times New Roman" w:cs="Times New Roman"/>
          <w:color w:val="000000"/>
          <w:spacing w:val="4"/>
          <w:w w:val="103"/>
          <w:sz w:val="28"/>
          <w:szCs w:val="28"/>
          <w:lang w:val="kk-KZ"/>
        </w:rPr>
        <w:t>Есептен құпия ақпарат жойылд</w:t>
      </w:r>
      <w:r w:rsidR="00980D4A" w:rsidRPr="0074122C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ы</w:t>
      </w:r>
    </w:p>
    <w:p w:rsidR="00FA67AB" w:rsidRDefault="00FA67AB">
      <w:pPr>
        <w:spacing w:line="240" w:lineRule="exact"/>
        <w:rPr>
          <w:rFonts w:ascii="Times New Roman" w:eastAsia="Times New Roman" w:hAnsi="Times New Roman" w:cs="Times New Roman"/>
          <w:w w:val="103"/>
          <w:sz w:val="24"/>
          <w:szCs w:val="24"/>
        </w:rPr>
      </w:pPr>
    </w:p>
    <w:p w:rsidR="00FA67AB" w:rsidRDefault="00FA67AB">
      <w:pPr>
        <w:spacing w:after="2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p w:rsidR="00FA67AB" w:rsidRDefault="00783409">
      <w:pPr>
        <w:widowControl w:val="0"/>
        <w:spacing w:line="240" w:lineRule="auto"/>
        <w:ind w:left="2567" w:right="-20"/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980D4A" w:rsidRPr="0074122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>Рәсімі туралы анықтамалық ақпарат</w:t>
      </w:r>
    </w:p>
    <w:p w:rsidR="00FA67AB" w:rsidRDefault="00FA67AB">
      <w:pPr>
        <w:spacing w:after="5" w:line="140" w:lineRule="exact"/>
        <w:rPr>
          <w:rFonts w:ascii="Times New Roman" w:eastAsia="Times New Roman" w:hAnsi="Times New Roman" w:cs="Times New Roman"/>
          <w:w w:val="103"/>
          <w:sz w:val="14"/>
          <w:szCs w:val="1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9184"/>
      </w:tblGrid>
      <w:tr w:rsidR="00FA67AB">
        <w:trPr>
          <w:cantSplit/>
          <w:trHeight w:hRule="exact" w:val="5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78340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20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Мемлекеттік тіркеу кезінде  дәрілік заттың сараптамасын жүргізуге тіркеу құжатын беру</w:t>
            </w:r>
          </w:p>
        </w:tc>
      </w:tr>
    </w:tbl>
    <w:p w:rsidR="00FA67AB" w:rsidRDefault="00FA67AB">
      <w:pPr>
        <w:spacing w:after="3" w:line="220" w:lineRule="exact"/>
      </w:pPr>
    </w:p>
    <w:p w:rsidR="00FA67AB" w:rsidRDefault="00783409" w:rsidP="00980D4A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w w:val="103"/>
          <w:sz w:val="3"/>
          <w:szCs w:val="3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10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980D4A" w:rsidRPr="00C0224A">
        <w:rPr>
          <w:rFonts w:ascii="Times New Roman" w:eastAsia="Times New Roman" w:hAnsi="Times New Roman" w:cs="Times New Roman"/>
          <w:color w:val="000000"/>
          <w:spacing w:val="6"/>
          <w:w w:val="103"/>
          <w:sz w:val="28"/>
          <w:szCs w:val="28"/>
          <w:lang w:val="kk-KZ"/>
        </w:rPr>
        <w:t>Ғылыми талқылау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A67AB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78340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 аспектілері</w:t>
            </w:r>
          </w:p>
        </w:tc>
      </w:tr>
      <w:tr w:rsidR="00FA67AB">
        <w:trPr>
          <w:cantSplit/>
          <w:trHeight w:hRule="exact" w:val="3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after="6" w:line="160" w:lineRule="exact"/>
              <w:rPr>
                <w:sz w:val="16"/>
                <w:szCs w:val="16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-7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 xml:space="preserve">Белсенді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ц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евт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калық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у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с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нци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я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шығу тегі, сапасы  туралы мәліметті талдау субстанцияны пайдалану мүмкіндігі туралы қорытынды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tabs>
                <w:tab w:val="left" w:pos="495"/>
                <w:tab w:val="left" w:pos="1299"/>
                <w:tab w:val="left" w:pos="1651"/>
                <w:tab w:val="left" w:pos="2164"/>
                <w:tab w:val="left" w:pos="2871"/>
                <w:tab w:val="left" w:pos="3327"/>
                <w:tab w:val="left" w:pos="3929"/>
                <w:tab w:val="left" w:pos="4562"/>
                <w:tab w:val="left" w:pos="5044"/>
                <w:tab w:val="left" w:pos="5856"/>
              </w:tabs>
              <w:spacing w:before="3" w:line="240" w:lineRule="auto"/>
              <w:ind w:left="60" w:right="1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Белсенді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субстанция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ретінде-кандесартан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силексетил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одипина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бесилат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физикалық-химиялық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қасиеттері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туралы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ақпарат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субстанциялардың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жеткілікті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көлемде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</w:t>
            </w:r>
            <w:proofErr w:type="gram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сертификаттары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сапа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тұрақтылығын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дәлелдейді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өнімнің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біртектілігі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сериядан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серияға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дейін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сақталады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процесс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бақылауда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болады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Ұсынылған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субстанцияның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және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қолданылатын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әдістеріні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барабарлығын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Б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ФС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дайын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өнімде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қолдану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ұсынылады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:rsidR="00FA67AB" w:rsidRDefault="00FA67AB">
      <w:pPr>
        <w:sectPr w:rsidR="00FA67AB">
          <w:type w:val="continuous"/>
          <w:pgSz w:w="11905" w:h="16837"/>
          <w:pgMar w:top="563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A67AB">
        <w:trPr>
          <w:cantSplit/>
          <w:trHeight w:hRule="exact" w:val="58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after="2" w:line="160" w:lineRule="exact"/>
              <w:rPr>
                <w:sz w:val="16"/>
                <w:szCs w:val="16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1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Қосымша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заттар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: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сапасы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саны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мәліметтерді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пайдалану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мүмкіндігі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туралы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қорытындылармен</w:t>
            </w:r>
            <w:proofErr w:type="spellEnd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талдау</w:t>
            </w:r>
            <w:proofErr w:type="spellEnd"/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tabs>
                <w:tab w:val="left" w:pos="661"/>
                <w:tab w:val="left" w:pos="1561"/>
                <w:tab w:val="left" w:pos="2034"/>
                <w:tab w:val="left" w:pos="2537"/>
                <w:tab w:val="left" w:pos="3457"/>
                <w:tab w:val="left" w:pos="3982"/>
                <w:tab w:val="left" w:pos="4464"/>
                <w:tab w:val="left" w:pos="5058"/>
                <w:tab w:val="left" w:pos="6092"/>
              </w:tabs>
              <w:spacing w:before="3" w:line="240" w:lineRule="auto"/>
              <w:ind w:left="60" w:right="1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Дә</w:t>
            </w:r>
            <w:proofErr w:type="gram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ілік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өндіру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кезінде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қосымша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ретінде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сападағы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мынадай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эксципиенттер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пайдаланылады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: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жүгері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крахмалы, лактоза моногидрат,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гидроксипропилцеллюлоза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l (HPC-l),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полиэтиленгликоль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6000, кальций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карбоксиметилцеллюлоза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темір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оксиді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қызыл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(е172), магний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стеараты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тазартылған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су, кальций фосфаты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дигидрат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(DI-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cafos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c-92-14),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микрокристалды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РН 102 целлюлоза, натрий крахмалы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гликолят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магний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стеараты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Препараттың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құрамында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Қазақстан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Республикасының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аумағында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</w:t>
            </w:r>
            <w:proofErr w:type="gram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олдану</w:t>
            </w:r>
            <w:proofErr w:type="gram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ға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тыйым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салынған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жоқ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;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бояғыштар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адам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тектес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пайдаланылмайды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Барлық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қосалқы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заттардың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сапасы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фармакопеялық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талаптарға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келеді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бұл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әрбі</w:t>
            </w:r>
            <w:proofErr w:type="gram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spellEnd"/>
            <w:proofErr w:type="gram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талдау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сертификатымен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(ЕФ 9.5).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Құрам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өткізілген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әзірлеу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барысында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іріктеліп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алынды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таңдау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әр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заттың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функционалдық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мақсатына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сәйкес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негізделген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компоненттердің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үйлесімділігі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тұрақтылықты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жөніндегі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деректермен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расталған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A67AB">
        <w:trPr>
          <w:cantSplit/>
          <w:trHeight w:hRule="exact"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78340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2.1.3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Дәрілік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препа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7657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</w:tr>
      <w:tr w:rsidR="00FA67AB" w:rsidRPr="00980D4A">
        <w:trPr>
          <w:cantSplit/>
          <w:trHeight w:hRule="exact" w:val="2160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Өндірісі туралы қорытынды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D4A" w:rsidRPr="00980D4A" w:rsidRDefault="00980D4A" w:rsidP="00980D4A">
            <w:pPr>
              <w:widowControl w:val="0"/>
              <w:tabs>
                <w:tab w:val="left" w:pos="1299"/>
                <w:tab w:val="left" w:pos="2169"/>
                <w:tab w:val="left" w:pos="2469"/>
                <w:tab w:val="left" w:pos="3430"/>
                <w:tab w:val="left" w:pos="3867"/>
                <w:tab w:val="left" w:pos="4350"/>
                <w:tab w:val="left" w:pos="5189"/>
                <w:tab w:val="left" w:pos="5566"/>
              </w:tabs>
              <w:spacing w:before="3" w:line="240" w:lineRule="auto"/>
              <w:ind w:left="60" w:right="20" w:firstLine="125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GMP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талаптарын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қанағаттандыратын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іс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және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бақылау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процесінің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толық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сипаттамасы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берілген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</w:p>
          <w:p w:rsidR="00FA67AB" w:rsidRPr="00980D4A" w:rsidRDefault="00980D4A" w:rsidP="00980D4A">
            <w:pPr>
              <w:widowControl w:val="0"/>
              <w:tabs>
                <w:tab w:val="left" w:pos="1313"/>
                <w:tab w:val="left" w:pos="2169"/>
                <w:tab w:val="left" w:pos="2480"/>
                <w:tab w:val="left" w:pos="3430"/>
                <w:tab w:val="left" w:pos="3874"/>
                <w:tab w:val="left" w:pos="4355"/>
                <w:tab w:val="left" w:pos="5192"/>
                <w:tab w:val="left" w:pos="5568"/>
              </w:tabs>
              <w:spacing w:before="3" w:line="240" w:lineRule="auto"/>
              <w:ind w:left="60" w:right="18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  <w:t>Валидациялық сынақтардың нәтижелері өндірістік процесс тұрақты және өнімді дайын өнімге фирманың өзіндік ерекшелігінің барлық параметрлері бойынша сәйкес келетін сериядан серияға дейін алуға мүмкіндік беретінін көрсетеді.</w:t>
            </w:r>
          </w:p>
        </w:tc>
      </w:tr>
      <w:tr w:rsidR="00FA67AB">
        <w:trPr>
          <w:cantSplit/>
          <w:trHeight w:hRule="exact" w:val="3163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Pr="00980D4A" w:rsidRDefault="00FA67AB">
            <w:pPr>
              <w:rPr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val="kk-KZ"/>
              </w:rPr>
              <w:t>Сапасының өзіндік ерекшелігі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D4A" w:rsidRPr="00980D4A" w:rsidRDefault="00980D4A" w:rsidP="00980D4A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ЕФ 9.5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стандарттары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ICH Q2, Q6A, Q3А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басшылығының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шеңберінде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өзіндік ерекшелі</w:t>
            </w:r>
            <w:proofErr w:type="gram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</w:t>
            </w:r>
            <w:proofErr w:type="gram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негіздемесі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әдістерінің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барабарлығын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980D4A" w:rsidRPr="00980D4A" w:rsidRDefault="00980D4A" w:rsidP="00980D4A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980D4A" w:rsidRPr="00980D4A" w:rsidRDefault="00980D4A" w:rsidP="00980D4A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Жүргізілген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әдістемелерінің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валидациясы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</w:t>
            </w:r>
            <w:proofErr w:type="gram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ілік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күнделікті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үшін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әдістемелерді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мүмкіндігін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980D4A" w:rsidRPr="00980D4A" w:rsidRDefault="00980D4A" w:rsidP="00980D4A">
            <w:pPr>
              <w:widowControl w:val="0"/>
              <w:spacing w:before="3" w:line="240" w:lineRule="auto"/>
              <w:ind w:left="60" w:right="16" w:firstLine="218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FA67AB" w:rsidRDefault="00980D4A" w:rsidP="00980D4A">
            <w:pPr>
              <w:widowControl w:val="0"/>
              <w:spacing w:line="240" w:lineRule="auto"/>
              <w:ind w:left="60" w:right="16"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Үш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бі</w:t>
            </w:r>
            <w:proofErr w:type="gram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р</w:t>
            </w:r>
            <w:proofErr w:type="gram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ізді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ұсынылған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талдау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сертификаттары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өнімнің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мен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біртектілігі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сериядан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серияға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дейін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сақталатынын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процесс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бақылауда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екенін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дәлелдейді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</w:tbl>
    <w:p w:rsidR="00FA67AB" w:rsidRDefault="00FA67AB">
      <w:pPr>
        <w:sectPr w:rsidR="00FA67AB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7"/>
      </w:tblGrid>
      <w:tr w:rsidR="00FA67AB" w:rsidTr="00EE7AA4">
        <w:trPr>
          <w:cantSplit/>
          <w:trHeight w:hRule="exact" w:val="6106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/>
              </w:rPr>
              <w:t>Тұрақтылық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D4A" w:rsidRPr="00980D4A" w:rsidRDefault="00980D4A" w:rsidP="00980D4A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proofErr w:type="gram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Тұрақтылықты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сынау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I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C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94"/>
                <w:sz w:val="23"/>
                <w:szCs w:val="23"/>
              </w:rPr>
              <w:t xml:space="preserve"> 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1A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98"/>
                <w:sz w:val="23"/>
                <w:szCs w:val="23"/>
              </w:rPr>
              <w:t xml:space="preserve"> 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(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R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-3"/>
                <w:sz w:val="23"/>
                <w:szCs w:val="23"/>
              </w:rPr>
              <w:t>)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91"/>
                <w:sz w:val="23"/>
                <w:szCs w:val="23"/>
              </w:rPr>
              <w:t xml:space="preserve"> 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Q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C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жүргізілді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Бастапқы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қаптама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деректерге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келеді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Ұзақ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мерзімді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тұрақтылықты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нәтижелеріне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препарат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сыни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көрсеткіштерінің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айтарлықтай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байқалмайды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  <w:proofErr w:type="gramEnd"/>
          </w:p>
          <w:p w:rsidR="00980D4A" w:rsidRPr="00980D4A" w:rsidRDefault="00980D4A" w:rsidP="00980D4A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980D4A" w:rsidRPr="00980D4A" w:rsidRDefault="00980D4A" w:rsidP="00980D4A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Ұ</w:t>
            </w:r>
            <w:proofErr w:type="gram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мерз</w:t>
            </w:r>
            <w:proofErr w:type="gram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імді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тұрақтылықты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нәтижелеріне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дайын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препарат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сапасының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сыни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көрсеткіштерінің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айтарлықтай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байқалмайды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980D4A" w:rsidRPr="00980D4A" w:rsidRDefault="00980D4A" w:rsidP="00980D4A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980D4A" w:rsidRPr="00980D4A" w:rsidRDefault="00980D4A" w:rsidP="00980D4A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1.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Сипаттама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өзіндік ерекшелік 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талаптарына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сәйкес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келеді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;</w:t>
            </w:r>
          </w:p>
          <w:p w:rsidR="00980D4A" w:rsidRPr="00980D4A" w:rsidRDefault="00980D4A" w:rsidP="00980D4A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980D4A" w:rsidRPr="00980D4A" w:rsidRDefault="00980D4A" w:rsidP="00980D4A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2.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Қоспалардың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құрамы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өзіндік ерекшелік 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шегінде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болуы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керек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;</w:t>
            </w:r>
          </w:p>
          <w:p w:rsidR="00980D4A" w:rsidRPr="00980D4A" w:rsidRDefault="00980D4A" w:rsidP="00980D4A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980D4A" w:rsidRPr="00980D4A" w:rsidRDefault="00980D4A" w:rsidP="00980D4A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3.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ab/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Әсер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етуші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заттың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сандық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құрамының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елеулі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өзгерістері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байқалмайды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  <w:p w:rsidR="00980D4A" w:rsidRPr="00980D4A" w:rsidRDefault="00980D4A" w:rsidP="00980D4A">
            <w:pPr>
              <w:widowControl w:val="0"/>
              <w:spacing w:before="3" w:line="240" w:lineRule="auto"/>
              <w:ind w:left="60" w:right="26" w:firstLine="19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FA67AB" w:rsidRDefault="00980D4A" w:rsidP="00980D4A">
            <w:pPr>
              <w:widowControl w:val="0"/>
              <w:spacing w:line="240" w:lineRule="auto"/>
              <w:ind w:left="60" w:right="-16" w:firstLine="67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Препараттың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тұрақтылығын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зерттеу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нәтижелер</w:t>
            </w:r>
            <w:r w:rsid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і</w:t>
            </w:r>
            <w:proofErr w:type="spellEnd"/>
            <w:r w:rsid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мәлімделген</w:t>
            </w:r>
            <w:proofErr w:type="spellEnd"/>
            <w:r w:rsid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сақтау</w:t>
            </w:r>
            <w:proofErr w:type="spellEnd"/>
            <w:r w:rsid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мерзімін</w:t>
            </w:r>
            <w:proofErr w:type="spellEnd"/>
            <w:r w:rsid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2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жыл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.</w:t>
            </w:r>
          </w:p>
        </w:tc>
      </w:tr>
      <w:tr w:rsidR="00FA67AB">
        <w:trPr>
          <w:cantSplit/>
          <w:trHeight w:hRule="exact" w:val="15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after="17" w:line="160" w:lineRule="exact"/>
              <w:rPr>
                <w:sz w:val="16"/>
                <w:szCs w:val="16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kk-KZ"/>
              </w:rPr>
              <w:t>Клиникаға дейінгі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спе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741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>
            <w:pPr>
              <w:spacing w:after="14" w:line="200" w:lineRule="exact"/>
              <w:rPr>
                <w:sz w:val="20"/>
                <w:szCs w:val="20"/>
              </w:rPr>
            </w:pPr>
          </w:p>
          <w:p w:rsidR="00FA67AB" w:rsidRDefault="00EE7AA4" w:rsidP="00EE7AA4">
            <w:pPr>
              <w:widowControl w:val="0"/>
              <w:spacing w:line="240" w:lineRule="auto"/>
              <w:ind w:left="60" w:right="649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Препарат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қайта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өнді</w:t>
            </w:r>
            <w:proofErr w:type="gram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р</w:t>
            </w:r>
            <w:proofErr w:type="gram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ілген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болып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табылады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,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осыған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байланысты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жүргізу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талап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етілмейді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.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Клиникаға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дейінгі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зерттеулер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бойынша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әдеби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шолу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ұсынылды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.</w:t>
            </w:r>
          </w:p>
        </w:tc>
      </w:tr>
      <w:tr w:rsidR="00FA67AB" w:rsidTr="00EE7AA4">
        <w:trPr>
          <w:cantSplit/>
          <w:trHeight w:hRule="exact" w:val="110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line="240" w:lineRule="exact"/>
              <w:rPr>
                <w:sz w:val="24"/>
                <w:szCs w:val="24"/>
              </w:rPr>
            </w:pPr>
          </w:p>
          <w:p w:rsidR="00FA67AB" w:rsidRDefault="00FA67AB">
            <w:pPr>
              <w:spacing w:after="2" w:line="240" w:lineRule="exact"/>
              <w:rPr>
                <w:sz w:val="24"/>
                <w:szCs w:val="24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0D4A" w:rsidRPr="00980D4A" w:rsidRDefault="00980D4A" w:rsidP="00980D4A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и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калық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а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ек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80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ілер</w:t>
            </w:r>
          </w:p>
          <w:p w:rsidR="00FA67AB" w:rsidRDefault="00FA67AB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>
            <w:pPr>
              <w:spacing w:after="14" w:line="200" w:lineRule="exact"/>
              <w:rPr>
                <w:sz w:val="20"/>
                <w:szCs w:val="20"/>
              </w:rPr>
            </w:pPr>
          </w:p>
          <w:p w:rsidR="00EE7AA4" w:rsidRDefault="00EE7AA4">
            <w:pPr>
              <w:widowControl w:val="0"/>
              <w:spacing w:line="240" w:lineRule="auto"/>
              <w:ind w:left="60" w:right="-19"/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Препарат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ҚР ДСМ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  <w:lang w:val="kk-KZ"/>
              </w:rPr>
              <w:t>жылғы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  <w:szCs w:val="23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736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бұйрығының  4-қосымшасының  1-тармағына сәйкес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қайта өндірілген дәрілік препарат болып табылады, </w:t>
            </w:r>
          </w:p>
          <w:p w:rsidR="00EE7AA4" w:rsidRPr="00EE7AA4" w:rsidRDefault="00EE7AA4" w:rsidP="00EE7AA4">
            <w:pPr>
              <w:pStyle w:val="a3"/>
              <w:shd w:val="clear" w:color="auto" w:fill="F4F5F6"/>
              <w:spacing w:before="0" w:beforeAutospacing="0" w:after="360" w:afterAutospacing="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kk-KZ"/>
              </w:rPr>
            </w:pPr>
            <w:r w:rsidRPr="00EE7AA4">
              <w:rPr>
                <w:color w:val="000000"/>
                <w:spacing w:val="3"/>
                <w:sz w:val="23"/>
                <w:szCs w:val="23"/>
                <w:lang w:val="kk-KZ"/>
              </w:rPr>
              <w:t>қайта өндірілген дәрілік препараттар үшін фармацевтикалық әзірлеу деректері түпнұсқалық немесе референттік препаратпен салыстырғанда ұсынылады</w:t>
            </w:r>
            <w:r w:rsidR="00783409" w:rsidRPr="00EE7AA4">
              <w:rPr>
                <w:color w:val="000000"/>
                <w:sz w:val="23"/>
                <w:szCs w:val="23"/>
                <w:lang w:val="kk-KZ"/>
              </w:rPr>
              <w:t>.</w:t>
            </w:r>
            <w:r>
              <w:rPr>
                <w:color w:val="000000"/>
                <w:sz w:val="23"/>
                <w:szCs w:val="23"/>
                <w:lang w:val="kk-KZ"/>
              </w:rPr>
              <w:t xml:space="preserve"> </w:t>
            </w:r>
            <w:r w:rsidRPr="00EE7AA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kk-KZ"/>
              </w:rPr>
              <w:t>Фармакологиялық қасиеттері мен дәірілк түрлеріне байланысты генериктің тіркеу дерегінде Қазақстан Республикасының өндірушілері үшін ұсынылатын құжаттардың ОТҚ форматының 5-модулінде немесе Тізбенің IV бөлігіндегі (бұдан әрі - Тізбе) бірегей препаратпен (референтті) генериктің баламалығын дәлелдеу үшін:салыстырмалы фармакокинетикалық зерттеулер есебі (биобаламалылығын зерттеу); салыстырмалы фармакодинамикалық клиникалық зерттеулер есебі;терапиялық баламалылығыны</w:t>
            </w: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kk-KZ"/>
              </w:rPr>
              <w:t xml:space="preserve">ң салыстырмалы зерттеулер есебі </w:t>
            </w:r>
            <w:r w:rsidRPr="00EE7AA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lang w:val="kk-KZ"/>
              </w:rPr>
              <w:t>беріледі.</w:t>
            </w:r>
          </w:p>
          <w:p w:rsidR="00EE7AA4" w:rsidRPr="00EE7AA4" w:rsidRDefault="00EE7AA4" w:rsidP="00EE7AA4">
            <w:pPr>
              <w:widowControl w:val="0"/>
              <w:spacing w:line="240" w:lineRule="auto"/>
              <w:ind w:left="60" w:right="-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Өтініш беруші биоэквиваленттілігін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е дербес </w:t>
            </w:r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зерттеуін ұсынды, оған сәйкес өтінім берілген препарат бі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регей препаратқа барабар</w:t>
            </w:r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.</w:t>
            </w:r>
          </w:p>
          <w:p w:rsidR="00EE7AA4" w:rsidRPr="00EE7AA4" w:rsidRDefault="00EE7AA4" w:rsidP="00EE7AA4">
            <w:pPr>
              <w:widowControl w:val="0"/>
              <w:spacing w:line="240" w:lineRule="auto"/>
              <w:ind w:left="60" w:right="-1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  <w:p w:rsidR="00FA67AB" w:rsidRDefault="00EE7AA4" w:rsidP="00EE7AA4">
            <w:pPr>
              <w:widowControl w:val="0"/>
              <w:spacing w:line="240" w:lineRule="auto"/>
              <w:ind w:left="60" w:right="71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Кандесартан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16 мг/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амлодипин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10 </w:t>
            </w:r>
            <w:proofErr w:type="gram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мг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</w:t>
            </w:r>
            <w:proofErr w:type="gramEnd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әне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кандесартан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16 мг/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амлодипин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5 мг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дозалары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үшін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in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vitro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еруін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зерттеу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ұсынылды</w:t>
            </w:r>
            <w:proofErr w:type="spellEnd"/>
          </w:p>
        </w:tc>
      </w:tr>
      <w:tr w:rsidR="00FA67AB">
        <w:trPr>
          <w:cantSplit/>
          <w:trHeight w:hRule="exact"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783409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9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логиялық қадағалау</w:t>
            </w:r>
          </w:p>
        </w:tc>
      </w:tr>
    </w:tbl>
    <w:p w:rsidR="00FA67AB" w:rsidRDefault="00FA67AB">
      <w:pPr>
        <w:sectPr w:rsidR="00FA67AB">
          <w:pgSz w:w="11905" w:h="16837"/>
          <w:pgMar w:top="560" w:right="850" w:bottom="1134" w:left="1133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2947"/>
        <w:gridCol w:w="6236"/>
      </w:tblGrid>
      <w:tr w:rsidR="00FA67AB">
        <w:trPr>
          <w:cantSplit/>
          <w:trHeight w:hRule="exact" w:val="9257"/>
        </w:trPr>
        <w:tc>
          <w:tcPr>
            <w:tcW w:w="6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94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Фармакологиялық қадағалау жүйесінің сипаттамасы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>
            <w:pPr>
              <w:spacing w:after="15" w:line="200" w:lineRule="exact"/>
              <w:rPr>
                <w:sz w:val="20"/>
                <w:szCs w:val="20"/>
              </w:rPr>
            </w:pPr>
          </w:p>
          <w:p w:rsidR="00EE7AA4" w:rsidRPr="00EE7AA4" w:rsidRDefault="00EE7AA4" w:rsidP="00EE7AA4">
            <w:pPr>
              <w:widowControl w:val="0"/>
              <w:spacing w:line="240" w:lineRule="auto"/>
              <w:ind w:left="60" w:right="16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"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Нобел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Алматы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фармацевтикалық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фабрикасы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" АҚ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компаниясы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жүйесі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бекітілгені</w:t>
            </w:r>
            <w:proofErr w:type="gram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н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</w:t>
            </w:r>
            <w:proofErr w:type="gram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әне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олардың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барлық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өнімдеріне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қолданылатынын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растайды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.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 xml:space="preserve">логиялық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қадағалау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жүйесінің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м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астер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-файлы</w:t>
            </w:r>
            <w:proofErr w:type="gram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мекенжайы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бойынша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сақталады</w:t>
            </w:r>
            <w:proofErr w:type="spell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:</w:t>
            </w:r>
          </w:p>
          <w:p w:rsidR="00EE7AA4" w:rsidRPr="00EE7AA4" w:rsidRDefault="00EE7AA4" w:rsidP="00EE7AA4">
            <w:pPr>
              <w:widowControl w:val="0"/>
              <w:spacing w:line="240" w:lineRule="auto"/>
              <w:ind w:left="60" w:right="168"/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</w:pPr>
          </w:p>
          <w:p w:rsidR="00FA67AB" w:rsidRDefault="00EE7AA4" w:rsidP="00EE7AA4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</w:t>
            </w:r>
            <w:proofErr w:type="gram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, 050008, Алматы қ.</w:t>
            </w: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евченк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 w:rsid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gramStart"/>
            <w:r w:rsid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к-с</w:t>
            </w:r>
            <w:proofErr w:type="gramEnd"/>
            <w:r w:rsidR="00EE7A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62Е</w:t>
            </w:r>
          </w:p>
          <w:p w:rsidR="00FA67AB" w:rsidRDefault="00FA67A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  <w:p w:rsidR="00FA67AB" w:rsidRDefault="00FA67A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060</w:t>
            </w:r>
          </w:p>
          <w:p w:rsidR="00FA67AB" w:rsidRDefault="00FA67A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nob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obe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FA67AB" w:rsidRDefault="00FA67A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7AB" w:rsidRDefault="00B266BE">
            <w:pPr>
              <w:widowControl w:val="0"/>
              <w:spacing w:line="240" w:lineRule="auto"/>
              <w:ind w:left="60" w:right="63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Жаһандық</w:t>
            </w:r>
            <w:proofErr w:type="spellEnd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және</w:t>
            </w:r>
            <w:proofErr w:type="spellEnd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жергілікті</w:t>
            </w:r>
            <w:proofErr w:type="spellEnd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фармакоқадағ</w:t>
            </w:r>
            <w:proofErr w:type="gramStart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алау</w:t>
            </w:r>
            <w:proofErr w:type="gramEnd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ға</w:t>
            </w:r>
            <w:proofErr w:type="spellEnd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жауапты</w:t>
            </w:r>
            <w:proofErr w:type="spellEnd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уәкілетті</w:t>
            </w:r>
            <w:proofErr w:type="spellEnd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proofErr w:type="spellStart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тұлға</w:t>
            </w:r>
            <w:proofErr w:type="spellEnd"/>
            <w:r w:rsidRPr="00B266BE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 w:rsidR="007834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</w:t>
            </w:r>
          </w:p>
          <w:p w:rsidR="00FA67AB" w:rsidRDefault="00FA67A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Лю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ье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</w:p>
          <w:p w:rsidR="00FA67AB" w:rsidRDefault="00FA67A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266BE" w:rsidRDefault="00B266BE" w:rsidP="00B266BE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Қ</w:t>
            </w:r>
            <w:proofErr w:type="gramStart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Р</w:t>
            </w:r>
            <w:proofErr w:type="gramEnd"/>
            <w:r w:rsidRPr="00EE7AA4"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, 050008, Алматы қ.</w:t>
            </w:r>
          </w:p>
          <w:p w:rsidR="00B266BE" w:rsidRDefault="00B266BE" w:rsidP="00B266BE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евченк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к-с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62Е</w:t>
            </w:r>
          </w:p>
          <w:p w:rsidR="00FA67AB" w:rsidRDefault="00FA67A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  <w:p w:rsidR="00FA67AB" w:rsidRDefault="00FA67A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фак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 xml:space="preserve"> +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060</w:t>
            </w:r>
          </w:p>
          <w:p w:rsidR="00FA67AB" w:rsidRDefault="00FA67AB">
            <w:pPr>
              <w:spacing w:after="1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nob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obe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z</w:t>
            </w:r>
          </w:p>
          <w:p w:rsidR="00FA67AB" w:rsidRDefault="00FA67A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сот. +7 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3"/>
                <w:szCs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000</w:t>
            </w:r>
          </w:p>
          <w:p w:rsidR="00FA67AB" w:rsidRDefault="00FA67A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</w:rPr>
              <w:t>nob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z</w:t>
            </w:r>
          </w:p>
          <w:p w:rsidR="00FA67AB" w:rsidRDefault="00FA67AB">
            <w:pPr>
              <w:spacing w:after="1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7AB" w:rsidRDefault="00980D4A" w:rsidP="00980D4A">
            <w:pPr>
              <w:widowControl w:val="0"/>
              <w:spacing w:line="240" w:lineRule="auto"/>
              <w:ind w:left="60" w:right="11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Дәрілік препарат қайта  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ндірілген,  ТБЖ талап етілмейді</w:t>
            </w:r>
            <w:r w:rsidR="0078340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  <w:tr w:rsidR="00FA67AB">
        <w:trPr>
          <w:cantSplit/>
          <w:trHeight w:hRule="exact" w:val="340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/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3"/>
                <w:szCs w:val="23"/>
                <w:lang w:val="kk-KZ"/>
              </w:rPr>
              <w:t>Клиникаға дейінгі аспектілер</w:t>
            </w:r>
          </w:p>
        </w:tc>
        <w:tc>
          <w:tcPr>
            <w:tcW w:w="6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/>
        </w:tc>
      </w:tr>
      <w:tr w:rsidR="00FA67AB">
        <w:trPr>
          <w:cantSplit/>
          <w:trHeight w:hRule="exact" w:val="77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>
            <w:pPr>
              <w:spacing w:after="14" w:line="240" w:lineRule="exact"/>
              <w:rPr>
                <w:sz w:val="24"/>
                <w:szCs w:val="24"/>
              </w:rPr>
            </w:pPr>
          </w:p>
          <w:p w:rsidR="00FA67AB" w:rsidRDefault="00783409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2.6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980D4A">
            <w:pPr>
              <w:widowControl w:val="0"/>
              <w:spacing w:before="3"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3"/>
                <w:szCs w:val="23"/>
                <w:lang w:val="kk-KZ"/>
              </w:rPr>
              <w:t>Босату шарттары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A67AB" w:rsidRDefault="00FA67AB">
            <w:pPr>
              <w:spacing w:after="14" w:line="200" w:lineRule="exact"/>
              <w:rPr>
                <w:sz w:val="20"/>
                <w:szCs w:val="20"/>
              </w:rPr>
            </w:pPr>
          </w:p>
          <w:p w:rsidR="00FA67AB" w:rsidRPr="00980D4A" w:rsidRDefault="00980D4A">
            <w:pPr>
              <w:widowControl w:val="0"/>
              <w:spacing w:line="240" w:lineRule="auto"/>
              <w:ind w:left="60" w:right="-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3"/>
                <w:szCs w:val="23"/>
                <w:lang w:val="kk-KZ"/>
              </w:rPr>
              <w:t>Рецепт бойынша</w:t>
            </w:r>
          </w:p>
        </w:tc>
      </w:tr>
    </w:tbl>
    <w:p w:rsidR="00FA67AB" w:rsidRDefault="00783409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page">
                  <wp:posOffset>2911475</wp:posOffset>
                </wp:positionH>
                <wp:positionV relativeFrom="page">
                  <wp:posOffset>10005695</wp:posOffset>
                </wp:positionV>
                <wp:extent cx="4572000" cy="64770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FA67AB" w:rsidRPr="00783409" w:rsidRDefault="00783409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783409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Created by the trial version of PDF Focus .Net 6.9.7.6!</w:t>
                            </w:r>
                          </w:p>
                          <w:p w:rsidR="00FA67AB" w:rsidRPr="00783409" w:rsidRDefault="00783409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 w:rsidRPr="00783409">
                              <w:rPr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The trial version sometimes inserts "trial" into random places.</w:t>
                            </w:r>
                          </w:p>
                          <w:p w:rsidR="00FA67AB" w:rsidRPr="00783409" w:rsidRDefault="00B266BE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hyperlink r:id="rId5">
                              <w:r w:rsidR="00783409" w:rsidRPr="00783409">
                                <w:rPr>
                                  <w:color w:val="0000FF"/>
                                  <w:sz w:val="24"/>
                                  <w:szCs w:val="24"/>
                                  <w:u w:val="single"/>
                                  <w:lang w:val="en-US"/>
                                </w:rPr>
                                <w:t>Get the full version of PDF Focus .Net.</w:t>
                              </w:r>
                            </w:hyperlink>
                          </w:p>
                        </w:txbxContent>
                      </wps:txbx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7" type="#_x0000_t202" style="position:absolute;margin-left:229.25pt;margin-top:787.85pt;width:5in;height:5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" o:allowincell="f" stroked="f">
                <v:textbox>
                  <w:txbxContent>
                    <w:p w:rsidR="00FA67AB" w:rsidRPr="00783409" w:rsidRDefault="00783409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783409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val="en-US"/>
                        </w:rPr>
                        <w:t>Created by the trial version of PDF Focus .Net 6.9.7.6!</w:t>
                      </w:r>
                    </w:p>
                    <w:p w:rsidR="00FA67AB" w:rsidRPr="00783409" w:rsidRDefault="00783409">
                      <w:pPr>
                        <w:spacing w:line="240" w:lineRule="auto"/>
                        <w:rPr>
                          <w:lang w:val="en-US"/>
                        </w:rPr>
                      </w:pPr>
                      <w:r w:rsidRPr="00783409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The trial version sometimes inserts "trial" into random places.</w:t>
                      </w:r>
                    </w:p>
                    <w:p w:rsidR="00FA67AB" w:rsidRPr="00783409" w:rsidRDefault="00B266BE">
                      <w:pPr>
                        <w:spacing w:line="240" w:lineRule="auto"/>
                        <w:rPr>
                          <w:lang w:val="en-US"/>
                        </w:rPr>
                      </w:pPr>
                      <w:hyperlink r:id="rId6">
                        <w:r w:rsidR="00783409" w:rsidRPr="00783409">
                          <w:rPr>
                            <w:color w:val="0000FF"/>
                            <w:sz w:val="24"/>
                            <w:szCs w:val="24"/>
                            <w:u w:val="single"/>
                            <w:lang w:val="en-US"/>
                          </w:rPr>
                          <w:t>Get the full version of PDF Focus .Net.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A67AB">
      <w:pgSz w:w="11905" w:h="16837"/>
      <w:pgMar w:top="560" w:right="85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AB"/>
    <w:rsid w:val="00783409"/>
    <w:rsid w:val="008102C7"/>
    <w:rsid w:val="00980D4A"/>
    <w:rsid w:val="00B266BE"/>
    <w:rsid w:val="00EE7AA4"/>
    <w:rsid w:val="00FA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utinsoft.com/products/pdf-focus/order.php" TargetMode="External"/><Relationship Id="rId5" Type="http://schemas.openxmlformats.org/officeDocument/2006/relationships/hyperlink" Target="https://www.sautinsoft.com/products/pdf-focus/ord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2020-07-15T15:57:00Z</dcterms:created>
  <dcterms:modified xsi:type="dcterms:W3CDTF">2020-07-26T10:00:00Z</dcterms:modified>
</cp:coreProperties>
</file>